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0AD0" w14:textId="4679A852" w:rsidR="00A27E3C" w:rsidRPr="00A27E3C" w:rsidRDefault="00A27E3C" w:rsidP="00A27E3C">
      <w:pPr>
        <w:pStyle w:val="Heading1"/>
      </w:pPr>
      <w:r w:rsidRPr="00A27E3C">
        <w:t>Application for the Conversion or New Grant / Change of Name of an Unlicensed Family Entertainment Centre Gaming Machine Permit</w:t>
      </w:r>
    </w:p>
    <w:p w14:paraId="1A639D83" w14:textId="5A27C4D5" w:rsidR="00A27E3C" w:rsidRPr="00A27E3C" w:rsidRDefault="00A27E3C" w:rsidP="00A27E3C">
      <w:pPr>
        <w:rPr>
          <w:b/>
          <w:bCs/>
        </w:rPr>
      </w:pPr>
      <w:r w:rsidRPr="00A27E3C">
        <w:rPr>
          <w:b/>
          <w:bCs/>
        </w:rPr>
        <w:t>(for use by occupiers / proposed occupiers of premises intended to be used by the applicant as unlicensed family entertainment centres)</w:t>
      </w:r>
    </w:p>
    <w:p w14:paraId="0E2F90AB" w14:textId="2DE9C17E" w:rsidR="00DD427E" w:rsidRDefault="00A27E3C" w:rsidP="00A27E3C">
      <w:r w:rsidRPr="00A27E3C">
        <w:t>Please refer to guidance notes at the back of this form before completing</w:t>
      </w:r>
      <w:r>
        <w:t>.</w:t>
      </w:r>
    </w:p>
    <w:p w14:paraId="4F6EF444" w14:textId="6E9DA7B9" w:rsidR="00A27E3C" w:rsidRDefault="00E9213F" w:rsidP="00A27E3C">
      <w:r>
        <w:pict w14:anchorId="313847F0">
          <v:rect id="_x0000_i1025" style="width:0;height:1.5pt" o:hralign="center" o:hrstd="t" o:hr="t" fillcolor="#a0a0a0" stroked="f"/>
        </w:pict>
      </w:r>
    </w:p>
    <w:p w14:paraId="47289699" w14:textId="5B01F41A" w:rsidR="00A27E3C" w:rsidRDefault="00A27E3C" w:rsidP="00A27E3C">
      <w:pPr>
        <w:pStyle w:val="Heading2"/>
      </w:pPr>
      <w:r>
        <w:t>Section A - What do you want to do?</w:t>
      </w:r>
    </w:p>
    <w:p w14:paraId="787EE4B7" w14:textId="77777777" w:rsidR="00A27E3C" w:rsidRDefault="00A27E3C" w:rsidP="00481E47">
      <w:pPr>
        <w:pStyle w:val="ListParagraph"/>
        <w:numPr>
          <w:ilvl w:val="0"/>
          <w:numId w:val="3"/>
        </w:numPr>
        <w:ind w:hanging="720"/>
      </w:pPr>
      <w:r>
        <w:t>Please indicate what you would like to do:</w:t>
      </w:r>
    </w:p>
    <w:p w14:paraId="5F6024E8" w14:textId="54F82C20" w:rsidR="00A27E3C" w:rsidRDefault="00A27E3C" w:rsidP="00481E47">
      <w:pPr>
        <w:pStyle w:val="ListParagraph"/>
        <w:numPr>
          <w:ilvl w:val="0"/>
          <w:numId w:val="1"/>
        </w:numPr>
        <w:ind w:left="1440" w:hanging="720"/>
      </w:pPr>
      <w:r>
        <w:t>Apply to convert an existing Section 34 permit issued under the Gaming Act 1968, into an unlicensed family entertainment centre gaming machine permit</w:t>
      </w:r>
    </w:p>
    <w:p w14:paraId="7C22CC55" w14:textId="6176DA42" w:rsidR="00A27E3C" w:rsidRDefault="00A27E3C" w:rsidP="00481E47">
      <w:pPr>
        <w:ind w:left="1440"/>
        <w:rPr>
          <w:rFonts w:cs="Arial"/>
          <w:szCs w:val="24"/>
        </w:rPr>
      </w:pPr>
      <w:r>
        <w:rPr>
          <w:rFonts w:cs="Arial"/>
          <w:szCs w:val="24"/>
        </w:rPr>
        <w:fldChar w:fldCharType="begin">
          <w:ffData>
            <w:name w:val="Check8"/>
            <w:enabled/>
            <w:calcOnExit w:val="0"/>
            <w:checkBox>
              <w:sizeAuto/>
              <w:default w:val="0"/>
            </w:checkBox>
          </w:ffData>
        </w:fldChar>
      </w:r>
      <w:bookmarkStart w:id="0" w:name="Check8"/>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p>
    <w:p w14:paraId="6BD30D02" w14:textId="31052286" w:rsidR="00A27E3C" w:rsidRPr="00A27E3C" w:rsidRDefault="00A27E3C" w:rsidP="00481E47">
      <w:pPr>
        <w:ind w:left="1440"/>
      </w:pPr>
      <w:r>
        <w:t>(if you choose this option then please complete sections B, D and E)</w:t>
      </w:r>
    </w:p>
    <w:p w14:paraId="5F21BFA6" w14:textId="6BC26C70" w:rsidR="00A27E3C" w:rsidRDefault="00A27E3C" w:rsidP="00481E47">
      <w:pPr>
        <w:pStyle w:val="ListParagraph"/>
        <w:numPr>
          <w:ilvl w:val="0"/>
          <w:numId w:val="1"/>
        </w:numPr>
        <w:ind w:left="1440" w:hanging="720"/>
      </w:pPr>
      <w:r>
        <w:t>Apply for a new unlicensed family entertainment centre gaming machine permit</w:t>
      </w:r>
    </w:p>
    <w:p w14:paraId="1E523B5A" w14:textId="6FB5AB28" w:rsidR="00A27E3C" w:rsidRDefault="00A27E3C" w:rsidP="00481E47">
      <w:pPr>
        <w:ind w:left="1440"/>
        <w:rPr>
          <w:rFonts w:cs="Arial"/>
          <w:szCs w:val="24"/>
        </w:rPr>
      </w:pPr>
      <w:r>
        <w:rPr>
          <w:rFonts w:cs="Arial"/>
          <w:szCs w:val="24"/>
        </w:rPr>
        <w:fldChar w:fldCharType="begin">
          <w:ffData>
            <w:name w:val="Check8"/>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p>
    <w:p w14:paraId="6CDABCF4" w14:textId="7B2C8A47" w:rsidR="00A27E3C" w:rsidRPr="00A27E3C" w:rsidRDefault="00A27E3C" w:rsidP="00481E47">
      <w:pPr>
        <w:ind w:left="1440"/>
      </w:pPr>
      <w:r>
        <w:t>(if you choose this option then please complete sections B, D and E)</w:t>
      </w:r>
    </w:p>
    <w:p w14:paraId="667895FE" w14:textId="5766663E" w:rsidR="00A27E3C" w:rsidRDefault="00A27E3C" w:rsidP="00481E47">
      <w:pPr>
        <w:pStyle w:val="ListParagraph"/>
        <w:numPr>
          <w:ilvl w:val="0"/>
          <w:numId w:val="1"/>
        </w:numPr>
        <w:ind w:left="1440" w:hanging="720"/>
      </w:pPr>
      <w:r>
        <w:t>Request that the licensing authority changes the name on the permit due to the existing permit holder’s change of name or wish to be known by another name</w:t>
      </w:r>
    </w:p>
    <w:p w14:paraId="5B8D4806" w14:textId="3F34F544" w:rsidR="00A27E3C" w:rsidRDefault="00A27E3C" w:rsidP="00481E47">
      <w:pPr>
        <w:ind w:left="1440"/>
      </w:pPr>
      <w:r w:rsidRPr="00A27E3C">
        <w:rPr>
          <w:rFonts w:cs="Arial"/>
          <w:szCs w:val="24"/>
        </w:rPr>
        <w:fldChar w:fldCharType="begin">
          <w:ffData>
            <w:name w:val="Check8"/>
            <w:enabled/>
            <w:calcOnExit w:val="0"/>
            <w:checkBox>
              <w:sizeAuto/>
              <w:default w:val="0"/>
            </w:checkBox>
          </w:ffData>
        </w:fldChar>
      </w:r>
      <w:r w:rsidRPr="00A27E3C">
        <w:rPr>
          <w:rFonts w:cs="Arial"/>
          <w:szCs w:val="24"/>
        </w:rPr>
        <w:instrText xml:space="preserve"> FORMCHECKBOX </w:instrText>
      </w:r>
      <w:r w:rsidRPr="00A27E3C">
        <w:rPr>
          <w:rFonts w:cs="Arial"/>
          <w:szCs w:val="24"/>
        </w:rPr>
      </w:r>
      <w:r w:rsidRPr="00A27E3C">
        <w:rPr>
          <w:rFonts w:cs="Arial"/>
          <w:szCs w:val="24"/>
        </w:rPr>
        <w:fldChar w:fldCharType="separate"/>
      </w:r>
      <w:r w:rsidRPr="00A27E3C">
        <w:rPr>
          <w:rFonts w:cs="Arial"/>
          <w:szCs w:val="24"/>
        </w:rPr>
        <w:fldChar w:fldCharType="end"/>
      </w:r>
    </w:p>
    <w:p w14:paraId="5DCC3DD8" w14:textId="3B1F1694" w:rsidR="00A27E3C" w:rsidRDefault="00A27E3C" w:rsidP="00481E47">
      <w:pPr>
        <w:ind w:left="1440"/>
      </w:pPr>
      <w:r>
        <w:t>(if you choose this option then please complete sections C, D and E)</w:t>
      </w:r>
    </w:p>
    <w:p w14:paraId="2347115D" w14:textId="34CA076C" w:rsidR="00745A4E" w:rsidRDefault="00E9213F" w:rsidP="00ED6DC8">
      <w:r>
        <w:pict w14:anchorId="1A7C7CBC">
          <v:rect id="_x0000_i1026" style="width:0;height:1.5pt" o:hralign="center" o:hrstd="t" o:hr="t" fillcolor="#a0a0a0" stroked="f"/>
        </w:pict>
      </w:r>
    </w:p>
    <w:p w14:paraId="0C992D3E" w14:textId="3D41E04F" w:rsidR="00745A4E" w:rsidRDefault="00745A4E" w:rsidP="000C517F">
      <w:pPr>
        <w:pStyle w:val="Heading2"/>
        <w:pageBreakBefore/>
      </w:pPr>
      <w:r>
        <w:lastRenderedPageBreak/>
        <w:t>Section B - Application for grant (includes both new and conversion applications)</w:t>
      </w:r>
    </w:p>
    <w:p w14:paraId="14043753" w14:textId="77777777" w:rsidR="00745A4E" w:rsidRDefault="00745A4E" w:rsidP="00481E47">
      <w:pPr>
        <w:pStyle w:val="ListParagraph"/>
        <w:numPr>
          <w:ilvl w:val="0"/>
          <w:numId w:val="3"/>
        </w:numPr>
        <w:ind w:hanging="720"/>
      </w:pPr>
      <w:r>
        <w:t>Do you have an existing Section 34 permit issued under the Gaming Act 1968?</w:t>
      </w:r>
    </w:p>
    <w:p w14:paraId="6CC62E00" w14:textId="77777777" w:rsidR="00745A4E" w:rsidRDefault="00745A4E" w:rsidP="00481E47">
      <w:pPr>
        <w:ind w:left="720"/>
      </w:pPr>
      <w:r>
        <w:t>Yes</w:t>
      </w:r>
      <w:r>
        <w:tab/>
      </w:r>
      <w:r w:rsidRPr="00A27E3C">
        <w:rPr>
          <w:rFonts w:cs="Arial"/>
          <w:szCs w:val="24"/>
        </w:rPr>
        <w:fldChar w:fldCharType="begin">
          <w:ffData>
            <w:name w:val="Check8"/>
            <w:enabled/>
            <w:calcOnExit w:val="0"/>
            <w:checkBox>
              <w:sizeAuto/>
              <w:default w:val="0"/>
            </w:checkBox>
          </w:ffData>
        </w:fldChar>
      </w:r>
      <w:r w:rsidRPr="00A27E3C">
        <w:rPr>
          <w:rFonts w:cs="Arial"/>
          <w:szCs w:val="24"/>
        </w:rPr>
        <w:instrText xml:space="preserve"> FORMCHECKBOX </w:instrText>
      </w:r>
      <w:r w:rsidRPr="00A27E3C">
        <w:rPr>
          <w:rFonts w:cs="Arial"/>
          <w:szCs w:val="24"/>
        </w:rPr>
      </w:r>
      <w:r w:rsidRPr="00A27E3C">
        <w:rPr>
          <w:rFonts w:cs="Arial"/>
          <w:szCs w:val="24"/>
        </w:rPr>
        <w:fldChar w:fldCharType="separate"/>
      </w:r>
      <w:r w:rsidRPr="00A27E3C">
        <w:rPr>
          <w:rFonts w:cs="Arial"/>
          <w:szCs w:val="24"/>
        </w:rPr>
        <w:fldChar w:fldCharType="end"/>
      </w:r>
      <w:r>
        <w:tab/>
        <w:t>No</w:t>
      </w:r>
      <w:r>
        <w:tab/>
      </w:r>
      <w:r w:rsidRPr="00A27E3C">
        <w:rPr>
          <w:rFonts w:cs="Arial"/>
          <w:szCs w:val="24"/>
        </w:rPr>
        <w:fldChar w:fldCharType="begin">
          <w:ffData>
            <w:name w:val="Check8"/>
            <w:enabled/>
            <w:calcOnExit w:val="0"/>
            <w:checkBox>
              <w:sizeAuto/>
              <w:default w:val="0"/>
            </w:checkBox>
          </w:ffData>
        </w:fldChar>
      </w:r>
      <w:r w:rsidRPr="00A27E3C">
        <w:rPr>
          <w:rFonts w:cs="Arial"/>
          <w:szCs w:val="24"/>
        </w:rPr>
        <w:instrText xml:space="preserve"> FORMCHECKBOX </w:instrText>
      </w:r>
      <w:r w:rsidRPr="00A27E3C">
        <w:rPr>
          <w:rFonts w:cs="Arial"/>
          <w:szCs w:val="24"/>
        </w:rPr>
      </w:r>
      <w:r w:rsidRPr="00A27E3C">
        <w:rPr>
          <w:rFonts w:cs="Arial"/>
          <w:szCs w:val="24"/>
        </w:rPr>
        <w:fldChar w:fldCharType="separate"/>
      </w:r>
      <w:r w:rsidRPr="00A27E3C">
        <w:rPr>
          <w:rFonts w:cs="Arial"/>
          <w:szCs w:val="24"/>
        </w:rPr>
        <w:fldChar w:fldCharType="end"/>
      </w:r>
    </w:p>
    <w:p w14:paraId="13B5B47A" w14:textId="322BE4EA" w:rsidR="00745A4E" w:rsidRDefault="00745A4E" w:rsidP="00481E47">
      <w:pPr>
        <w:ind w:left="720"/>
      </w:pPr>
      <w:r>
        <w:t>If ‘</w:t>
      </w:r>
      <w:proofErr w:type="spellStart"/>
      <w:r>
        <w:t>yes’</w:t>
      </w:r>
      <w:proofErr w:type="spellEnd"/>
      <w:r>
        <w:t xml:space="preserve"> the permit should be enclosed.</w:t>
      </w:r>
      <w:r w:rsidR="00481E47">
        <w:t>*</w:t>
      </w:r>
    </w:p>
    <w:p w14:paraId="09DFA3A0" w14:textId="58F9A884" w:rsidR="00745A4E" w:rsidRDefault="00481E47" w:rsidP="00481E47">
      <w:pPr>
        <w:ind w:left="720"/>
      </w:pPr>
      <w:r>
        <w:t>*</w:t>
      </w:r>
      <w:r w:rsidR="00745A4E">
        <w:t>Existing Section 34 permit enclosed:</w:t>
      </w:r>
      <w:r w:rsidR="00745A4E">
        <w:tab/>
      </w:r>
      <w:r w:rsidR="00745A4E" w:rsidRPr="00A27E3C">
        <w:rPr>
          <w:rFonts w:cs="Arial"/>
          <w:szCs w:val="24"/>
        </w:rPr>
        <w:fldChar w:fldCharType="begin">
          <w:ffData>
            <w:name w:val="Check8"/>
            <w:enabled/>
            <w:calcOnExit w:val="0"/>
            <w:checkBox>
              <w:sizeAuto/>
              <w:default w:val="0"/>
            </w:checkBox>
          </w:ffData>
        </w:fldChar>
      </w:r>
      <w:r w:rsidR="00745A4E" w:rsidRPr="00A27E3C">
        <w:rPr>
          <w:rFonts w:cs="Arial"/>
          <w:szCs w:val="24"/>
        </w:rPr>
        <w:instrText xml:space="preserve"> FORMCHECKBOX </w:instrText>
      </w:r>
      <w:r w:rsidR="00745A4E" w:rsidRPr="00A27E3C">
        <w:rPr>
          <w:rFonts w:cs="Arial"/>
          <w:szCs w:val="24"/>
        </w:rPr>
      </w:r>
      <w:r w:rsidR="00745A4E" w:rsidRPr="00A27E3C">
        <w:rPr>
          <w:rFonts w:cs="Arial"/>
          <w:szCs w:val="24"/>
        </w:rPr>
        <w:fldChar w:fldCharType="separate"/>
      </w:r>
      <w:r w:rsidR="00745A4E" w:rsidRPr="00A27E3C">
        <w:rPr>
          <w:rFonts w:cs="Arial"/>
          <w:szCs w:val="24"/>
        </w:rPr>
        <w:fldChar w:fldCharType="end"/>
      </w:r>
    </w:p>
    <w:p w14:paraId="025F07F6" w14:textId="4601C8D6" w:rsidR="00A27E3C" w:rsidRDefault="00745A4E" w:rsidP="00481E47">
      <w:pPr>
        <w:pStyle w:val="ListParagraph"/>
        <w:numPr>
          <w:ilvl w:val="0"/>
          <w:numId w:val="3"/>
        </w:numPr>
        <w:ind w:hanging="720"/>
      </w:pPr>
      <w:r>
        <w:t>Are you aware of any premises licence, issued under the Gambling Act 2005, which exists in relation to the premises to which this application relates?</w:t>
      </w:r>
    </w:p>
    <w:p w14:paraId="6B8549D3" w14:textId="41E6D296" w:rsidR="00745A4E" w:rsidRDefault="00745A4E" w:rsidP="00481E47">
      <w:pPr>
        <w:ind w:left="720"/>
        <w:rPr>
          <w:rFonts w:cs="Arial"/>
          <w:szCs w:val="24"/>
        </w:rPr>
      </w:pPr>
      <w:r>
        <w:t>Yes</w:t>
      </w:r>
      <w:r>
        <w:tab/>
      </w:r>
      <w:r w:rsidRPr="00745A4E">
        <w:rPr>
          <w:rFonts w:cs="Arial"/>
          <w:szCs w:val="24"/>
        </w:rPr>
        <w:fldChar w:fldCharType="begin">
          <w:ffData>
            <w:name w:val="Check8"/>
            <w:enabled/>
            <w:calcOnExit w:val="0"/>
            <w:checkBox>
              <w:sizeAuto/>
              <w:default w:val="0"/>
            </w:checkBox>
          </w:ffData>
        </w:fldChar>
      </w:r>
      <w:r w:rsidRPr="00745A4E">
        <w:rPr>
          <w:rFonts w:cs="Arial"/>
          <w:szCs w:val="24"/>
        </w:rPr>
        <w:instrText xml:space="preserve"> FORMCHECKBOX </w:instrText>
      </w:r>
      <w:r w:rsidRPr="00745A4E">
        <w:rPr>
          <w:rFonts w:cs="Arial"/>
          <w:szCs w:val="24"/>
        </w:rPr>
      </w:r>
      <w:r w:rsidRPr="00745A4E">
        <w:rPr>
          <w:rFonts w:cs="Arial"/>
          <w:szCs w:val="24"/>
        </w:rPr>
        <w:fldChar w:fldCharType="separate"/>
      </w:r>
      <w:r w:rsidRPr="00745A4E">
        <w:rPr>
          <w:rFonts w:cs="Arial"/>
          <w:szCs w:val="24"/>
        </w:rPr>
        <w:fldChar w:fldCharType="end"/>
      </w:r>
      <w:r>
        <w:tab/>
        <w:t>No</w:t>
      </w:r>
      <w:r>
        <w:tab/>
      </w:r>
      <w:r w:rsidRPr="00745A4E">
        <w:rPr>
          <w:rFonts w:cs="Arial"/>
          <w:szCs w:val="24"/>
        </w:rPr>
        <w:fldChar w:fldCharType="begin">
          <w:ffData>
            <w:name w:val="Check8"/>
            <w:enabled/>
            <w:calcOnExit w:val="0"/>
            <w:checkBox>
              <w:sizeAuto/>
              <w:default w:val="0"/>
            </w:checkBox>
          </w:ffData>
        </w:fldChar>
      </w:r>
      <w:r w:rsidRPr="00745A4E">
        <w:rPr>
          <w:rFonts w:cs="Arial"/>
          <w:szCs w:val="24"/>
        </w:rPr>
        <w:instrText xml:space="preserve"> FORMCHECKBOX </w:instrText>
      </w:r>
      <w:r w:rsidRPr="00745A4E">
        <w:rPr>
          <w:rFonts w:cs="Arial"/>
          <w:szCs w:val="24"/>
        </w:rPr>
      </w:r>
      <w:r w:rsidRPr="00745A4E">
        <w:rPr>
          <w:rFonts w:cs="Arial"/>
          <w:szCs w:val="24"/>
        </w:rPr>
        <w:fldChar w:fldCharType="separate"/>
      </w:r>
      <w:r w:rsidRPr="00745A4E">
        <w:rPr>
          <w:rFonts w:cs="Arial"/>
          <w:szCs w:val="24"/>
        </w:rPr>
        <w:fldChar w:fldCharType="end"/>
      </w:r>
    </w:p>
    <w:p w14:paraId="27449735" w14:textId="6E86817C" w:rsidR="00745A4E" w:rsidRDefault="00745A4E" w:rsidP="00481E47">
      <w:pPr>
        <w:ind w:left="720"/>
      </w:pPr>
      <w:r>
        <w:t>If ‘</w:t>
      </w:r>
      <w:proofErr w:type="spellStart"/>
      <w:r>
        <w:t>yes’</w:t>
      </w:r>
      <w:proofErr w:type="spellEnd"/>
      <w:r>
        <w:t xml:space="preserve"> please provide details (for example, premises licence reference number)</w:t>
      </w:r>
    </w:p>
    <w:bookmarkStart w:id="1" w:name="_Hlk221006868"/>
    <w:p w14:paraId="60665C00" w14:textId="30B5312A" w:rsidR="00481E47" w:rsidRPr="00481E47" w:rsidRDefault="00481E47" w:rsidP="00481E47">
      <w:pPr>
        <w:ind w:left="720"/>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bookmarkEnd w:id="1"/>
    <w:p w14:paraId="11F30045" w14:textId="66EF6653" w:rsidR="00745A4E" w:rsidRDefault="00E9213F" w:rsidP="00745A4E">
      <w:r>
        <w:pict w14:anchorId="24DDAAD5">
          <v:rect id="_x0000_i1027" style="width:0;height:1.5pt" o:hralign="center" o:hrstd="t" o:hr="t" fillcolor="#a0a0a0" stroked="f"/>
        </w:pict>
      </w:r>
    </w:p>
    <w:p w14:paraId="6065F176" w14:textId="183AF943" w:rsidR="00745A4E" w:rsidRDefault="00745A4E" w:rsidP="00745A4E">
      <w:pPr>
        <w:pStyle w:val="Heading2"/>
      </w:pPr>
      <w:r>
        <w:t>Section C - Change of name</w:t>
      </w:r>
    </w:p>
    <w:p w14:paraId="56A905EF" w14:textId="77777777" w:rsidR="00745A4E" w:rsidRDefault="00745A4E" w:rsidP="00481E47">
      <w:pPr>
        <w:pStyle w:val="ListParagraph"/>
        <w:numPr>
          <w:ilvl w:val="0"/>
          <w:numId w:val="3"/>
        </w:numPr>
        <w:ind w:hanging="720"/>
      </w:pPr>
      <w:r>
        <w:t>What is the name of the permit holder on the existing permit?</w:t>
      </w:r>
    </w:p>
    <w:p w14:paraId="2F015F7D" w14:textId="77777777" w:rsidR="00745A4E" w:rsidRPr="00745A4E" w:rsidRDefault="00745A4E" w:rsidP="00481E47">
      <w:pPr>
        <w:ind w:left="720"/>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2378F4F" w14:textId="0D6902DD" w:rsidR="00745A4E" w:rsidRDefault="00745A4E" w:rsidP="00481E47">
      <w:pPr>
        <w:pStyle w:val="ListParagraph"/>
        <w:numPr>
          <w:ilvl w:val="0"/>
          <w:numId w:val="3"/>
        </w:numPr>
        <w:ind w:hanging="720"/>
      </w:pPr>
      <w:r>
        <w:t>What is the reference number of the existing permit?</w:t>
      </w:r>
    </w:p>
    <w:p w14:paraId="2E591F79" w14:textId="2EB98010" w:rsidR="00745A4E" w:rsidRPr="00745A4E" w:rsidRDefault="00745A4E" w:rsidP="00481E47">
      <w:pPr>
        <w:ind w:left="720"/>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3F345DF" w14:textId="77777777" w:rsidR="00745A4E" w:rsidRDefault="00745A4E" w:rsidP="00481E47">
      <w:pPr>
        <w:pStyle w:val="ListParagraph"/>
        <w:numPr>
          <w:ilvl w:val="0"/>
          <w:numId w:val="3"/>
        </w:numPr>
        <w:ind w:hanging="720"/>
      </w:pPr>
      <w:r>
        <w:t>What name change is requested by the permit holder?</w:t>
      </w:r>
    </w:p>
    <w:p w14:paraId="7E55FB08" w14:textId="0D9AABB1" w:rsidR="00745A4E" w:rsidRPr="00745A4E" w:rsidRDefault="00745A4E" w:rsidP="00481E47">
      <w:pPr>
        <w:ind w:left="720"/>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7A044D4E" w14:textId="65C0E3E2" w:rsidR="00745A4E" w:rsidRDefault="00745A4E" w:rsidP="00481E47">
      <w:pPr>
        <w:pStyle w:val="ListParagraph"/>
        <w:numPr>
          <w:ilvl w:val="0"/>
          <w:numId w:val="3"/>
        </w:numPr>
        <w:ind w:hanging="720"/>
      </w:pPr>
      <w:r>
        <w:t>Why is this change of name being requested? (see guidance note 8)</w:t>
      </w:r>
    </w:p>
    <w:p w14:paraId="4B0AFE3B" w14:textId="3820B46D" w:rsidR="00745A4E" w:rsidRDefault="00745A4E" w:rsidP="00481E47">
      <w:pPr>
        <w:ind w:left="720"/>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03882D3" w14:textId="2243FDFB" w:rsidR="00745A4E" w:rsidRDefault="00745A4E" w:rsidP="00745A4E">
      <w:pPr>
        <w:rPr>
          <w:lang w:val="en-US"/>
        </w:rPr>
      </w:pPr>
      <w:r w:rsidRPr="00745A4E">
        <w:rPr>
          <w:lang w:val="en-US"/>
        </w:rPr>
        <w:t>Please keep a copy of your existing permit on the premises to which it relates.</w:t>
      </w:r>
    </w:p>
    <w:p w14:paraId="647CF1AB" w14:textId="2702A11E" w:rsidR="00745A4E" w:rsidRDefault="00E9213F" w:rsidP="00745A4E">
      <w:pPr>
        <w:rPr>
          <w:lang w:val="en-US"/>
        </w:rPr>
      </w:pPr>
      <w:r>
        <w:pict w14:anchorId="49D5B80D">
          <v:rect id="_x0000_i1028" style="width:0;height:1.5pt" o:hralign="center" o:hrstd="t" o:hr="t" fillcolor="#a0a0a0" stroked="f"/>
        </w:pict>
      </w:r>
    </w:p>
    <w:p w14:paraId="50583B7D" w14:textId="463F79A3" w:rsidR="00745A4E" w:rsidRDefault="00745A4E" w:rsidP="000C517F">
      <w:pPr>
        <w:pStyle w:val="Heading2"/>
        <w:pageBreakBefore/>
        <w:rPr>
          <w:lang w:val="en-US"/>
        </w:rPr>
      </w:pPr>
      <w:r>
        <w:rPr>
          <w:lang w:val="en-US"/>
        </w:rPr>
        <w:t>Section D - General Information</w:t>
      </w:r>
    </w:p>
    <w:p w14:paraId="12C0107B" w14:textId="77777777" w:rsidR="00481E47" w:rsidRDefault="00745A4E" w:rsidP="00481E47">
      <w:pPr>
        <w:pStyle w:val="ListParagraph"/>
        <w:numPr>
          <w:ilvl w:val="0"/>
          <w:numId w:val="3"/>
        </w:numPr>
        <w:ind w:hanging="720"/>
        <w:rPr>
          <w:lang w:val="en-US"/>
        </w:rPr>
      </w:pPr>
      <w:r w:rsidRPr="00745A4E">
        <w:rPr>
          <w:lang w:val="en-US"/>
        </w:rPr>
        <w:t>Name of premises</w:t>
      </w:r>
    </w:p>
    <w:p w14:paraId="5D1C5736" w14:textId="77777777" w:rsidR="000C517F" w:rsidRDefault="000C517F" w:rsidP="000C517F">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3D98A94" w14:textId="77777777" w:rsidR="00481E47" w:rsidRDefault="00745A4E" w:rsidP="00481E47">
      <w:pPr>
        <w:pStyle w:val="ListParagraph"/>
        <w:numPr>
          <w:ilvl w:val="0"/>
          <w:numId w:val="3"/>
        </w:numPr>
        <w:ind w:hanging="720"/>
        <w:rPr>
          <w:lang w:val="en-US"/>
        </w:rPr>
      </w:pPr>
      <w:r w:rsidRPr="00481E47">
        <w:rPr>
          <w:lang w:val="en-US"/>
        </w:rPr>
        <w:t>Address of premises</w:t>
      </w:r>
    </w:p>
    <w:p w14:paraId="47AFD541" w14:textId="6F3F949C" w:rsidR="000C517F" w:rsidRPr="000C517F" w:rsidRDefault="000C517F" w:rsidP="000C517F">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2CFB81CA" w14:textId="0840AA7F" w:rsidR="00745A4E" w:rsidRDefault="00745A4E" w:rsidP="00481E47">
      <w:pPr>
        <w:pStyle w:val="ListParagraph"/>
        <w:numPr>
          <w:ilvl w:val="0"/>
          <w:numId w:val="3"/>
        </w:numPr>
        <w:ind w:hanging="720"/>
        <w:rPr>
          <w:lang w:val="en-US"/>
        </w:rPr>
      </w:pPr>
      <w:r w:rsidRPr="00481E47">
        <w:rPr>
          <w:lang w:val="en-US"/>
        </w:rPr>
        <w:t>Telephone number of premises</w:t>
      </w:r>
    </w:p>
    <w:p w14:paraId="19AE55B7" w14:textId="4CD470AC" w:rsidR="000C517F" w:rsidRPr="000C517F" w:rsidRDefault="000C517F" w:rsidP="000C517F">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3E03D13" w14:textId="77777777" w:rsidR="000C517F" w:rsidRDefault="00745A4E" w:rsidP="00745A4E">
      <w:pPr>
        <w:pStyle w:val="ListParagraph"/>
        <w:numPr>
          <w:ilvl w:val="0"/>
          <w:numId w:val="3"/>
        </w:numPr>
        <w:ind w:hanging="720"/>
        <w:rPr>
          <w:lang w:val="en-US"/>
        </w:rPr>
      </w:pPr>
      <w:r w:rsidRPr="000C517F">
        <w:rPr>
          <w:lang w:val="en-US"/>
        </w:rPr>
        <w:t>Name of applicant</w:t>
      </w:r>
    </w:p>
    <w:p w14:paraId="30F4991A" w14:textId="32A25243" w:rsidR="000C517F" w:rsidRDefault="000C517F" w:rsidP="000C517F">
      <w:pPr>
        <w:pStyle w:val="ListParagraph"/>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4413BF87" w14:textId="77777777" w:rsidR="000C517F" w:rsidRDefault="00745A4E" w:rsidP="000C517F">
      <w:pPr>
        <w:pStyle w:val="ListParagraph"/>
        <w:numPr>
          <w:ilvl w:val="0"/>
          <w:numId w:val="3"/>
        </w:numPr>
        <w:ind w:hanging="720"/>
        <w:rPr>
          <w:lang w:val="en-US"/>
        </w:rPr>
      </w:pPr>
      <w:r w:rsidRPr="000C517F">
        <w:rPr>
          <w:lang w:val="en-US"/>
        </w:rPr>
        <w:t>Address of applicant</w:t>
      </w:r>
    </w:p>
    <w:p w14:paraId="456C0E78" w14:textId="5D73E463" w:rsidR="000C517F" w:rsidRDefault="000C517F" w:rsidP="000C517F">
      <w:pPr>
        <w:pStyle w:val="ListParagraph"/>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52014033" w14:textId="0D7EB172" w:rsidR="000C517F" w:rsidRDefault="00745A4E" w:rsidP="00745A4E">
      <w:pPr>
        <w:pStyle w:val="ListParagraph"/>
        <w:numPr>
          <w:ilvl w:val="0"/>
          <w:numId w:val="3"/>
        </w:numPr>
        <w:ind w:hanging="720"/>
        <w:rPr>
          <w:lang w:val="en-US"/>
        </w:rPr>
      </w:pPr>
      <w:r w:rsidRPr="000C517F">
        <w:rPr>
          <w:lang w:val="en-US"/>
        </w:rPr>
        <w:t>Telephone number (daytime) of applican</w:t>
      </w:r>
      <w:r w:rsidR="000C517F">
        <w:rPr>
          <w:lang w:val="en-US"/>
        </w:rPr>
        <w:t>t</w:t>
      </w:r>
    </w:p>
    <w:p w14:paraId="118BB55B" w14:textId="37B92001" w:rsidR="000C517F" w:rsidRDefault="000C517F" w:rsidP="000C517F">
      <w:pPr>
        <w:pStyle w:val="ListParagraph"/>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1E89B3A7" w14:textId="0B18BED8" w:rsidR="000C517F" w:rsidRDefault="00745A4E" w:rsidP="00745A4E">
      <w:pPr>
        <w:pStyle w:val="ListParagraph"/>
        <w:numPr>
          <w:ilvl w:val="0"/>
          <w:numId w:val="3"/>
        </w:numPr>
        <w:ind w:hanging="720"/>
        <w:rPr>
          <w:lang w:val="en-US"/>
        </w:rPr>
      </w:pPr>
      <w:r w:rsidRPr="000C517F">
        <w:rPr>
          <w:lang w:val="en-US"/>
        </w:rPr>
        <w:t>Email address of applicant</w:t>
      </w:r>
    </w:p>
    <w:p w14:paraId="3EAD03A6" w14:textId="0E71BF3D" w:rsidR="000C517F" w:rsidRDefault="000C517F" w:rsidP="000C517F">
      <w:pPr>
        <w:pStyle w:val="ListParagraph"/>
        <w:rPr>
          <w:lang w:val="en-US"/>
        </w:rPr>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4C378C48" w14:textId="4F5E2B6D" w:rsidR="00745A4E" w:rsidRDefault="00745A4E" w:rsidP="00745A4E">
      <w:pPr>
        <w:pStyle w:val="ListParagraph"/>
        <w:numPr>
          <w:ilvl w:val="0"/>
          <w:numId w:val="3"/>
        </w:numPr>
        <w:ind w:hanging="720"/>
        <w:rPr>
          <w:lang w:val="en-US"/>
        </w:rPr>
      </w:pPr>
      <w:r w:rsidRPr="000C517F">
        <w:rPr>
          <w:lang w:val="en-US"/>
        </w:rPr>
        <w:t>Name, address, telephone and email of agent (e.g. solicitor) if submitted on behalf of the applicant</w:t>
      </w:r>
    </w:p>
    <w:p w14:paraId="5C98A996" w14:textId="67AED833" w:rsidR="000C517F" w:rsidRDefault="000C517F" w:rsidP="000C517F">
      <w:pPr>
        <w:pStyle w:val="ListParagraph"/>
      </w:pP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3467F374" w14:textId="03DE35A7" w:rsidR="000C517F" w:rsidRDefault="00E9213F" w:rsidP="000C517F">
      <w:pPr>
        <w:rPr>
          <w:lang w:val="en-US"/>
        </w:rPr>
      </w:pPr>
      <w:r>
        <w:pict w14:anchorId="577A24AF">
          <v:rect id="_x0000_i1029" style="width:0;height:1.5pt" o:hralign="center" o:hrstd="t" o:hr="t" fillcolor="#a0a0a0" stroked="f"/>
        </w:pict>
      </w:r>
    </w:p>
    <w:p w14:paraId="689482DC" w14:textId="34B35854" w:rsidR="000C517F" w:rsidRPr="000C517F" w:rsidRDefault="000C517F" w:rsidP="000C517F">
      <w:pPr>
        <w:pStyle w:val="Heading2"/>
        <w:rPr>
          <w:lang w:val="en-US"/>
        </w:rPr>
      </w:pPr>
      <w:r w:rsidRPr="000C517F">
        <w:rPr>
          <w:lang w:val="en-US"/>
        </w:rPr>
        <w:t xml:space="preserve">Section E </w:t>
      </w:r>
      <w:r>
        <w:rPr>
          <w:lang w:val="en-US"/>
        </w:rPr>
        <w:t>-</w:t>
      </w:r>
      <w:r w:rsidRPr="000C517F">
        <w:rPr>
          <w:lang w:val="en-US"/>
        </w:rPr>
        <w:t xml:space="preserve"> Fee and Signature(s)</w:t>
      </w:r>
    </w:p>
    <w:p w14:paraId="691F4877" w14:textId="77777777" w:rsidR="000C517F" w:rsidRDefault="000C517F" w:rsidP="000C517F">
      <w:pPr>
        <w:rPr>
          <w:lang w:val="en-US"/>
        </w:rPr>
      </w:pPr>
      <w:r w:rsidRPr="000C517F">
        <w:rPr>
          <w:lang w:val="en-US"/>
        </w:rPr>
        <w:t>I enclose a sum of £</w:t>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r w:rsidRPr="000C517F">
        <w:rPr>
          <w:lang w:val="en-US"/>
        </w:rPr>
        <w:t xml:space="preserve"> (cheques should be made payable to Stafford Borough Council)</w:t>
      </w:r>
    </w:p>
    <w:p w14:paraId="246D24B7" w14:textId="35FA947D" w:rsidR="000C517F" w:rsidRPr="000C517F" w:rsidRDefault="000C517F" w:rsidP="000C517F">
      <w:r w:rsidRPr="00745A4E">
        <w:rPr>
          <w:rFonts w:cs="Arial"/>
          <w:szCs w:val="24"/>
        </w:rPr>
        <w:fldChar w:fldCharType="begin">
          <w:ffData>
            <w:name w:val="Check8"/>
            <w:enabled/>
            <w:calcOnExit w:val="0"/>
            <w:checkBox>
              <w:sizeAuto/>
              <w:default w:val="0"/>
            </w:checkBox>
          </w:ffData>
        </w:fldChar>
      </w:r>
      <w:r w:rsidRPr="00745A4E">
        <w:rPr>
          <w:rFonts w:cs="Arial"/>
          <w:szCs w:val="24"/>
        </w:rPr>
        <w:instrText xml:space="preserve"> FORMCHECKBOX </w:instrText>
      </w:r>
      <w:r w:rsidRPr="00745A4E">
        <w:rPr>
          <w:rFonts w:cs="Arial"/>
          <w:szCs w:val="24"/>
        </w:rPr>
      </w:r>
      <w:r w:rsidRPr="00745A4E">
        <w:rPr>
          <w:rFonts w:cs="Arial"/>
          <w:szCs w:val="24"/>
        </w:rPr>
        <w:fldChar w:fldCharType="separate"/>
      </w:r>
      <w:r w:rsidRPr="00745A4E">
        <w:rPr>
          <w:rFonts w:cs="Arial"/>
          <w:szCs w:val="24"/>
        </w:rPr>
        <w:fldChar w:fldCharType="end"/>
      </w:r>
    </w:p>
    <w:p w14:paraId="0E7DCC82" w14:textId="77777777" w:rsidR="000C517F" w:rsidRDefault="000C517F" w:rsidP="000C517F">
      <w:pPr>
        <w:rPr>
          <w:lang w:val="en-US"/>
        </w:rPr>
      </w:pPr>
      <w:r w:rsidRPr="000C517F">
        <w:rPr>
          <w:lang w:val="en-US"/>
        </w:rPr>
        <w:t>I confirm that I occupy / propose to occupy the premises to which this application relates.</w:t>
      </w:r>
    </w:p>
    <w:p w14:paraId="78367D91" w14:textId="5D79389D" w:rsidR="000C517F" w:rsidRPr="000C517F" w:rsidRDefault="000C517F" w:rsidP="000C517F">
      <w:pPr>
        <w:rPr>
          <w:lang w:val="en-US"/>
        </w:rPr>
      </w:pPr>
      <w:r w:rsidRPr="00745A4E">
        <w:rPr>
          <w:rFonts w:cs="Arial"/>
          <w:szCs w:val="24"/>
        </w:rPr>
        <w:fldChar w:fldCharType="begin">
          <w:ffData>
            <w:name w:val="Check8"/>
            <w:enabled/>
            <w:calcOnExit w:val="0"/>
            <w:checkBox>
              <w:sizeAuto/>
              <w:default w:val="0"/>
            </w:checkBox>
          </w:ffData>
        </w:fldChar>
      </w:r>
      <w:r w:rsidRPr="00745A4E">
        <w:rPr>
          <w:rFonts w:cs="Arial"/>
          <w:szCs w:val="24"/>
        </w:rPr>
        <w:instrText xml:space="preserve"> FORMCHECKBOX </w:instrText>
      </w:r>
      <w:r w:rsidRPr="00745A4E">
        <w:rPr>
          <w:rFonts w:cs="Arial"/>
          <w:szCs w:val="24"/>
        </w:rPr>
      </w:r>
      <w:r w:rsidRPr="00745A4E">
        <w:rPr>
          <w:rFonts w:cs="Arial"/>
          <w:szCs w:val="24"/>
        </w:rPr>
        <w:fldChar w:fldCharType="separate"/>
      </w:r>
      <w:r w:rsidRPr="00745A4E">
        <w:rPr>
          <w:rFonts w:cs="Arial"/>
          <w:szCs w:val="24"/>
        </w:rPr>
        <w:fldChar w:fldCharType="end"/>
      </w:r>
    </w:p>
    <w:p w14:paraId="17CAED1A" w14:textId="77777777" w:rsidR="000C517F" w:rsidRDefault="000C517F" w:rsidP="000C517F">
      <w:pPr>
        <w:rPr>
          <w:lang w:val="en-US"/>
        </w:rPr>
      </w:pPr>
      <w:r w:rsidRPr="000C517F">
        <w:rPr>
          <w:lang w:val="en-US"/>
        </w:rPr>
        <w:t>I confirm that I am 18 years of age or older.</w:t>
      </w:r>
    </w:p>
    <w:p w14:paraId="5D7C21EE" w14:textId="3338741B" w:rsidR="000C517F" w:rsidRPr="000C517F" w:rsidRDefault="000C517F" w:rsidP="000C517F">
      <w:pPr>
        <w:rPr>
          <w:lang w:val="en-US"/>
        </w:rPr>
      </w:pPr>
      <w:r w:rsidRPr="00745A4E">
        <w:rPr>
          <w:rFonts w:cs="Arial"/>
          <w:szCs w:val="24"/>
        </w:rPr>
        <w:fldChar w:fldCharType="begin">
          <w:ffData>
            <w:name w:val="Check8"/>
            <w:enabled/>
            <w:calcOnExit w:val="0"/>
            <w:checkBox>
              <w:sizeAuto/>
              <w:default w:val="0"/>
            </w:checkBox>
          </w:ffData>
        </w:fldChar>
      </w:r>
      <w:r w:rsidRPr="00745A4E">
        <w:rPr>
          <w:rFonts w:cs="Arial"/>
          <w:szCs w:val="24"/>
        </w:rPr>
        <w:instrText xml:space="preserve"> FORMCHECKBOX </w:instrText>
      </w:r>
      <w:r w:rsidRPr="00745A4E">
        <w:rPr>
          <w:rFonts w:cs="Arial"/>
          <w:szCs w:val="24"/>
        </w:rPr>
      </w:r>
      <w:r w:rsidRPr="00745A4E">
        <w:rPr>
          <w:rFonts w:cs="Arial"/>
          <w:szCs w:val="24"/>
        </w:rPr>
        <w:fldChar w:fldCharType="separate"/>
      </w:r>
      <w:r w:rsidRPr="00745A4E">
        <w:rPr>
          <w:rFonts w:cs="Arial"/>
          <w:szCs w:val="24"/>
        </w:rPr>
        <w:fldChar w:fldCharType="end"/>
      </w:r>
    </w:p>
    <w:p w14:paraId="5984F43F" w14:textId="77777777" w:rsidR="000C517F" w:rsidRPr="000C517F" w:rsidRDefault="000C517F" w:rsidP="000C517F">
      <w:pPr>
        <w:rPr>
          <w:lang w:val="en-US"/>
        </w:rPr>
      </w:pPr>
      <w:r w:rsidRPr="00676298">
        <w:rPr>
          <w:b/>
          <w:bCs/>
          <w:lang w:val="en-US"/>
        </w:rPr>
        <w:t>Please note:</w:t>
      </w:r>
      <w:r w:rsidRPr="000C517F">
        <w:rPr>
          <w:lang w:val="en-US"/>
        </w:rPr>
        <w:t xml:space="preserve"> It is an offence under section 342 of the Gambling Act 2005 if a person, without reasonable excuse, gives to a licensing authority for a purpose connected with that Act information which is false or misleading.</w:t>
      </w:r>
    </w:p>
    <w:p w14:paraId="72750E24" w14:textId="3F72E20F" w:rsidR="000C517F" w:rsidRDefault="000C517F" w:rsidP="000C517F">
      <w:pPr>
        <w:pStyle w:val="ListParagraph"/>
        <w:ind w:left="1440" w:hanging="1440"/>
      </w:pPr>
      <w:r w:rsidRPr="000C517F">
        <w:rPr>
          <w:lang w:val="en-US"/>
        </w:rPr>
        <w:t>Dated</w:t>
      </w:r>
      <w:r>
        <w:rPr>
          <w:lang w:val="en-US"/>
        </w:rPr>
        <w:t>:</w:t>
      </w:r>
      <w:r>
        <w:rPr>
          <w:lang w:val="en-US"/>
        </w:rPr>
        <w:tab/>
      </w:r>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10CDC2E0" w14:textId="77777777" w:rsidR="000C517F" w:rsidRDefault="000C517F" w:rsidP="000C517F">
      <w:pPr>
        <w:pStyle w:val="ListParagraph"/>
        <w:ind w:left="1440" w:hanging="1440"/>
      </w:pPr>
    </w:p>
    <w:p w14:paraId="072E5C82" w14:textId="77777777" w:rsidR="000C517F" w:rsidRDefault="000C517F" w:rsidP="000C517F">
      <w:pPr>
        <w:pStyle w:val="ListParagraph"/>
        <w:ind w:left="1440" w:hanging="1440"/>
        <w:sectPr w:rsidR="000C517F" w:rsidSect="00745A4E">
          <w:footerReference w:type="default" r:id="rId7"/>
          <w:headerReference w:type="first" r:id="rId8"/>
          <w:footerReference w:type="first" r:id="rId9"/>
          <w:pgSz w:w="11906" w:h="16838"/>
          <w:pgMar w:top="1440" w:right="1440" w:bottom="1440" w:left="1440" w:header="708" w:footer="708" w:gutter="0"/>
          <w:cols w:space="708"/>
          <w:titlePg/>
          <w:docGrid w:linePitch="360"/>
        </w:sectPr>
      </w:pPr>
    </w:p>
    <w:p w14:paraId="7880AA30" w14:textId="77777777" w:rsidR="000C517F" w:rsidRDefault="000C517F" w:rsidP="000C517F">
      <w:pPr>
        <w:pStyle w:val="Heading2"/>
      </w:pPr>
      <w:r>
        <w:t>Guidance notes:</w:t>
      </w:r>
    </w:p>
    <w:p w14:paraId="7B0DE434" w14:textId="0FF9A536" w:rsidR="000C517F" w:rsidRDefault="000C517F" w:rsidP="000C517F">
      <w:pPr>
        <w:pStyle w:val="ListParagraph"/>
        <w:numPr>
          <w:ilvl w:val="0"/>
          <w:numId w:val="4"/>
        </w:numPr>
        <w:ind w:hanging="720"/>
      </w:pPr>
      <w:r>
        <w:t>This form is to be used for an application for a grant (or to request a change of name) of an unlicensed family entertainment centre gaming machine permit under the Gambling Act 2005 Section 247 and Schedule 10. This form can be used for both new applications and for applications to convert an existing Section 34 permit under the Gaming Act 1968 in accordance with the Gambling Act 2005 Statutory Instrument 2006 / 3272.</w:t>
      </w:r>
    </w:p>
    <w:p w14:paraId="60A7FF66" w14:textId="7743C7B4" w:rsidR="000C517F" w:rsidRDefault="000C517F" w:rsidP="000C517F">
      <w:pPr>
        <w:pStyle w:val="ListParagraph"/>
        <w:numPr>
          <w:ilvl w:val="0"/>
          <w:numId w:val="4"/>
        </w:numPr>
        <w:ind w:hanging="720"/>
      </w:pPr>
      <w:r>
        <w:t>An unlicensed family entertainment centre is entitled to provide an unlimited number of category D gaming machines available for use on the premises. Category D gaming machines are defined in the Gambling Act 2005 Statutory Instrument SI 2007 / 2158 as:</w:t>
      </w:r>
    </w:p>
    <w:p w14:paraId="63EF1786" w14:textId="6D7E95E7" w:rsidR="000C517F" w:rsidRDefault="000C517F" w:rsidP="000C517F">
      <w:pPr>
        <w:pStyle w:val="ListParagraph"/>
        <w:numPr>
          <w:ilvl w:val="0"/>
          <w:numId w:val="5"/>
        </w:numPr>
        <w:ind w:left="1440" w:hanging="720"/>
      </w:pPr>
      <w:r>
        <w:t>Maximum stake = 10p or 30p non-monetary</w:t>
      </w:r>
    </w:p>
    <w:p w14:paraId="66666876" w14:textId="5686BD45" w:rsidR="000C517F" w:rsidRDefault="000C517F" w:rsidP="000C517F">
      <w:pPr>
        <w:pStyle w:val="ListParagraph"/>
        <w:numPr>
          <w:ilvl w:val="0"/>
          <w:numId w:val="5"/>
        </w:numPr>
        <w:ind w:left="1440" w:hanging="720"/>
      </w:pPr>
      <w:r>
        <w:t>Maximum prize = £5 cash or £8 non-monetary</w:t>
      </w:r>
    </w:p>
    <w:p w14:paraId="7D66CD80" w14:textId="77777777" w:rsidR="000C517F" w:rsidRDefault="000C517F" w:rsidP="000C517F">
      <w:pPr>
        <w:pStyle w:val="ListParagraph"/>
        <w:numPr>
          <w:ilvl w:val="0"/>
          <w:numId w:val="4"/>
        </w:numPr>
        <w:ind w:hanging="720"/>
      </w:pPr>
      <w:r>
        <w:t xml:space="preserve">Category C (adult) gaming machines </w:t>
      </w:r>
      <w:r w:rsidRPr="000C517F">
        <w:rPr>
          <w:b/>
          <w:bCs/>
        </w:rPr>
        <w:t>CANNOT</w:t>
      </w:r>
      <w:r>
        <w:t xml:space="preserve"> be made available for use and thus there will be no ‘designated adult areas’ required at the premises.</w:t>
      </w:r>
    </w:p>
    <w:p w14:paraId="1DCF1E0F" w14:textId="77777777" w:rsidR="000C517F" w:rsidRDefault="000C517F" w:rsidP="000C517F">
      <w:pPr>
        <w:pStyle w:val="ListParagraph"/>
        <w:numPr>
          <w:ilvl w:val="0"/>
          <w:numId w:val="4"/>
        </w:numPr>
        <w:ind w:hanging="720"/>
      </w:pPr>
      <w:r>
        <w:t xml:space="preserve">The permit’s duration is </w:t>
      </w:r>
      <w:r w:rsidRPr="000C517F">
        <w:rPr>
          <w:b/>
          <w:bCs/>
        </w:rPr>
        <w:t>10 years</w:t>
      </w:r>
      <w:r>
        <w:t>. A renewal application must be made 2-6 months before the expiry date of the permit (Schedule 10 paragraph 18 Gambling Act 2005).</w:t>
      </w:r>
    </w:p>
    <w:p w14:paraId="758CFCFA" w14:textId="77777777" w:rsidR="000C517F" w:rsidRDefault="000C517F" w:rsidP="000C517F">
      <w:pPr>
        <w:pStyle w:val="ListParagraph"/>
        <w:numPr>
          <w:ilvl w:val="0"/>
          <w:numId w:val="4"/>
        </w:numPr>
        <w:ind w:hanging="720"/>
      </w:pPr>
      <w:r>
        <w:t xml:space="preserve">The fee for a new application for grant is </w:t>
      </w:r>
      <w:r w:rsidRPr="000C517F">
        <w:rPr>
          <w:b/>
          <w:bCs/>
        </w:rPr>
        <w:t>£300</w:t>
      </w:r>
      <w:r>
        <w:t xml:space="preserve">. The fee for the conversion of an existing Section 34 Gaming Act 1968 permit is </w:t>
      </w:r>
      <w:r w:rsidRPr="000C517F">
        <w:rPr>
          <w:b/>
          <w:bCs/>
        </w:rPr>
        <w:t>£100</w:t>
      </w:r>
      <w:r>
        <w:t xml:space="preserve">. The fee for a change of name is </w:t>
      </w:r>
      <w:r w:rsidRPr="000C517F">
        <w:rPr>
          <w:b/>
          <w:bCs/>
        </w:rPr>
        <w:t>£25</w:t>
      </w:r>
      <w:r>
        <w:t>.</w:t>
      </w:r>
    </w:p>
    <w:p w14:paraId="6CE94C27" w14:textId="371962C6" w:rsidR="000C517F" w:rsidRDefault="000C517F" w:rsidP="000C517F">
      <w:pPr>
        <w:pStyle w:val="ListParagraph"/>
        <w:numPr>
          <w:ilvl w:val="0"/>
          <w:numId w:val="4"/>
        </w:numPr>
        <w:ind w:hanging="720"/>
      </w:pPr>
      <w:r>
        <w:t>Applicants should be aware that this Licensing Authority has published a ‘Statement of Principles’ under Schedule 10 paragraph of the Gambling Act 2005. The Statement of Principles is available via this authority’s website or via a request made to the contact details provided at the top of this form.</w:t>
      </w:r>
    </w:p>
    <w:p w14:paraId="09FB9B89" w14:textId="77777777" w:rsidR="000C517F" w:rsidRDefault="000C517F" w:rsidP="000C517F">
      <w:pPr>
        <w:pStyle w:val="ListParagraph"/>
        <w:numPr>
          <w:ilvl w:val="0"/>
          <w:numId w:val="4"/>
        </w:numPr>
        <w:ind w:hanging="720"/>
      </w:pPr>
      <w:r>
        <w:t>This licensing authority must notify the applicant of its grant / refusal of the application for a permit as soon as is reasonably practicable after that decision to grant / refuse has been made.</w:t>
      </w:r>
    </w:p>
    <w:p w14:paraId="0BD31338" w14:textId="7FFA363E" w:rsidR="000C517F" w:rsidRDefault="000C517F" w:rsidP="000C517F">
      <w:pPr>
        <w:pStyle w:val="ListParagraph"/>
        <w:numPr>
          <w:ilvl w:val="0"/>
          <w:numId w:val="4"/>
        </w:numPr>
        <w:ind w:hanging="720"/>
      </w:pPr>
      <w:r>
        <w:t xml:space="preserve">If an application has been made to convert an existing Section 34 Gaming Act 1968 permit before </w:t>
      </w:r>
      <w:r w:rsidRPr="000C517F">
        <w:rPr>
          <w:b/>
          <w:bCs/>
        </w:rPr>
        <w:t>31</w:t>
      </w:r>
      <w:r>
        <w:rPr>
          <w:b/>
          <w:bCs/>
        </w:rPr>
        <w:t xml:space="preserve"> </w:t>
      </w:r>
      <w:r w:rsidRPr="000C517F">
        <w:rPr>
          <w:b/>
          <w:bCs/>
        </w:rPr>
        <w:t>July 2007</w:t>
      </w:r>
      <w:r>
        <w:t>, then the applicant can assume that, even where a decision has not been formally made by this licensing authority, his/her application is to be treated as granted from September 2007. Following this, a permit must be provided by this authority as soon as reasonably practicable.</w:t>
      </w:r>
    </w:p>
    <w:p w14:paraId="5DF21708" w14:textId="3B94FF7F" w:rsidR="000C517F" w:rsidRDefault="000C517F" w:rsidP="000C517F">
      <w:pPr>
        <w:pStyle w:val="ListParagraph"/>
        <w:numPr>
          <w:ilvl w:val="0"/>
          <w:numId w:val="4"/>
        </w:numPr>
        <w:ind w:hanging="720"/>
      </w:pPr>
      <w:r>
        <w:t>These permits cannot be transferred. Change of name is only permitted where the permit holder changes his / her name or wishes to be known by another name (Schedule 10 paragraph 11(2)).</w:t>
      </w:r>
    </w:p>
    <w:p w14:paraId="3CAFA11A" w14:textId="7F2361C1" w:rsidR="00C928AE" w:rsidRDefault="00E9213F" w:rsidP="00C928AE">
      <w:r>
        <w:pict w14:anchorId="542A8B00">
          <v:rect id="_x0000_i1030" style="width:0;height:1.5pt" o:hralign="center" o:hrstd="t" o:hr="t" fillcolor="#a0a0a0" stroked="f"/>
        </w:pict>
      </w:r>
    </w:p>
    <w:p w14:paraId="3CF007C6" w14:textId="77777777" w:rsidR="00C928AE" w:rsidRPr="007C22C9" w:rsidRDefault="00C928AE" w:rsidP="00C928AE">
      <w:pPr>
        <w:pStyle w:val="Heading3"/>
        <w:keepNext/>
        <w:keepLines/>
      </w:pPr>
      <w:r w:rsidRPr="007C22C9">
        <w:t>How we use your personal information</w:t>
      </w:r>
    </w:p>
    <w:p w14:paraId="4FBA6636" w14:textId="27955C55" w:rsidR="00C928AE" w:rsidRPr="00C928AE" w:rsidRDefault="00C928AE" w:rsidP="00C928AE">
      <w:pPr>
        <w:keepNext/>
        <w:keepLines/>
        <w:rPr>
          <w:lang w:val="en-US"/>
        </w:rPr>
      </w:pPr>
      <w:r w:rsidRPr="007C22C9">
        <w:rPr>
          <w:lang w:val="en-US"/>
        </w:rPr>
        <w:t xml:space="preserve">The information that you have provided on this form will be used by Stafford Borough Council, who are the data </w:t>
      </w:r>
      <w:proofErr w:type="gramStart"/>
      <w:r w:rsidRPr="007C22C9">
        <w:rPr>
          <w:lang w:val="en-US"/>
        </w:rPr>
        <w:t>controller</w:t>
      </w:r>
      <w:proofErr w:type="gramEnd"/>
      <w:r w:rsidRPr="007C22C9">
        <w:rPr>
          <w:lang w:val="en-US"/>
        </w:rPr>
        <w:t xml:space="preserve">, for the processing of your application and providing you with a </w:t>
      </w:r>
      <w:proofErr w:type="spellStart"/>
      <w:r w:rsidRPr="007C22C9">
        <w:rPr>
          <w:lang w:val="en-US"/>
        </w:rPr>
        <w:t>licence</w:t>
      </w:r>
      <w:proofErr w:type="spellEnd"/>
      <w:r w:rsidRPr="007C22C9">
        <w:rPr>
          <w:lang w:val="en-US"/>
        </w:rPr>
        <w:t>. We will only share your information with</w:t>
      </w:r>
      <w:r>
        <w:rPr>
          <w:lang w:val="en-US"/>
        </w:rPr>
        <w:t xml:space="preserve"> </w:t>
      </w:r>
      <w:r w:rsidRPr="007C22C9">
        <w:rPr>
          <w:lang w:val="en-US"/>
        </w:rPr>
        <w:t xml:space="preserve">/ or on The Public Register, The Home Office, other Government agencies, Council departments and Enforcement agencies and the National Fraud Initiative when necessary or where the law otherwise requires or allows us to do so. For further information, please see </w:t>
      </w:r>
      <w:hyperlink r:id="rId10" w:history="1">
        <w:r w:rsidRPr="00383BBD">
          <w:rPr>
            <w:rStyle w:val="Hyperlink"/>
            <w:lang w:val="en-US"/>
          </w:rPr>
          <w:t>www.staffordbc.gov.uk/privacynotices</w:t>
        </w:r>
      </w:hyperlink>
    </w:p>
    <w:p w14:paraId="124D11FF" w14:textId="23F61776" w:rsidR="000C517F" w:rsidRDefault="00E9213F" w:rsidP="000C517F">
      <w:r>
        <w:pict w14:anchorId="60186C0D">
          <v:rect id="_x0000_i1031" style="width:0;height:1.5pt" o:hralign="center" o:hrstd="t" o:hr="t" fillcolor="#a0a0a0" stroked="f"/>
        </w:pict>
      </w:r>
    </w:p>
    <w:p w14:paraId="3B92F5A0" w14:textId="7C911EA2" w:rsidR="000C517F" w:rsidRPr="00590EEE" w:rsidRDefault="00590EEE" w:rsidP="00590EEE">
      <w:pPr>
        <w:pStyle w:val="Heading3"/>
      </w:pPr>
      <w:r>
        <w:t>For Office Use Only</w:t>
      </w:r>
    </w:p>
    <w:p w14:paraId="7FD73183" w14:textId="1FB42F1E" w:rsidR="000C517F" w:rsidRDefault="000C517F" w:rsidP="000C517F">
      <w:r>
        <w:t>Date of receipt:</w:t>
      </w:r>
    </w:p>
    <w:p w14:paraId="7C95C727" w14:textId="43A4B2D6" w:rsidR="000C517F" w:rsidRDefault="000C517F" w:rsidP="000C517F">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7D935922" w14:textId="1906198F" w:rsidR="000C517F" w:rsidRDefault="000C517F" w:rsidP="000C517F">
      <w:r>
        <w:t>Signature and name of staff who received:</w:t>
      </w:r>
    </w:p>
    <w:p w14:paraId="549C45C9" w14:textId="75FD35C3" w:rsidR="000C517F" w:rsidRDefault="000C517F" w:rsidP="000C517F">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18CF78F2" w14:textId="0A2E19E6" w:rsidR="000C517F" w:rsidRDefault="000C517F" w:rsidP="000C517F">
      <w:r>
        <w:t>Date of receipt of fee:</w:t>
      </w:r>
    </w:p>
    <w:p w14:paraId="27423B36" w14:textId="5161E947" w:rsidR="000C517F" w:rsidRDefault="000C517F" w:rsidP="000C517F">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A5F9EAC" w14:textId="32E6584A" w:rsidR="000C517F" w:rsidRDefault="000C517F" w:rsidP="000C517F">
      <w:r>
        <w:t>Signature and name of staff who received fee:</w:t>
      </w:r>
    </w:p>
    <w:p w14:paraId="2E3C93A8" w14:textId="176A202F" w:rsidR="000C517F" w:rsidRDefault="000C517F" w:rsidP="000C517F">
      <w:r w:rsidRPr="00E87EAE">
        <w:fldChar w:fldCharType="begin">
          <w:ffData>
            <w:name w:val="Text56"/>
            <w:enabled/>
            <w:calcOnExit w:val="0"/>
            <w:textInput/>
          </w:ffData>
        </w:fldChar>
      </w:r>
      <w:r w:rsidRPr="00E87EAE">
        <w:instrText xml:space="preserve"> FORMTEXT </w:instrText>
      </w:r>
      <w:r w:rsidRPr="00E87EAE">
        <w:fldChar w:fldCharType="separate"/>
      </w:r>
      <w:r w:rsidRPr="00E87EAE">
        <w:rPr>
          <w:noProof/>
        </w:rPr>
        <w:t> </w:t>
      </w:r>
      <w:r w:rsidRPr="00E87EAE">
        <w:rPr>
          <w:noProof/>
        </w:rPr>
        <w:t> </w:t>
      </w:r>
      <w:r w:rsidRPr="00E87EAE">
        <w:rPr>
          <w:noProof/>
        </w:rPr>
        <w:t> </w:t>
      </w:r>
      <w:r w:rsidRPr="00E87EAE">
        <w:rPr>
          <w:noProof/>
        </w:rPr>
        <w:t> </w:t>
      </w:r>
      <w:r w:rsidRPr="00E87EAE">
        <w:rPr>
          <w:noProof/>
        </w:rPr>
        <w:t> </w:t>
      </w:r>
      <w:r w:rsidRPr="00E87EAE">
        <w:fldChar w:fldCharType="end"/>
      </w:r>
    </w:p>
    <w:p w14:paraId="6166F759" w14:textId="462BFE81" w:rsidR="00C928AE" w:rsidRPr="000C517F" w:rsidRDefault="000C517F" w:rsidP="000C517F">
      <w:r>
        <w:t>Application accepted / returned (please delete as appropriate)</w:t>
      </w:r>
    </w:p>
    <w:sectPr w:rsidR="00C928AE" w:rsidRPr="000C517F" w:rsidSect="00745A4E">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A540" w14:textId="77777777" w:rsidR="00A27E3C" w:rsidRDefault="00A27E3C" w:rsidP="00A27E3C">
      <w:pPr>
        <w:spacing w:before="0" w:after="0" w:line="240" w:lineRule="auto"/>
      </w:pPr>
      <w:r>
        <w:separator/>
      </w:r>
    </w:p>
  </w:endnote>
  <w:endnote w:type="continuationSeparator" w:id="0">
    <w:p w14:paraId="65838E9E" w14:textId="77777777" w:rsidR="00A27E3C" w:rsidRDefault="00A27E3C" w:rsidP="00A27E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179823"/>
      <w:docPartObj>
        <w:docPartGallery w:val="Page Numbers (Bottom of Page)"/>
        <w:docPartUnique/>
      </w:docPartObj>
    </w:sdtPr>
    <w:sdtEndPr>
      <w:rPr>
        <w:noProof/>
      </w:rPr>
    </w:sdtEndPr>
    <w:sdtContent>
      <w:p w14:paraId="66C76491" w14:textId="01755479" w:rsidR="000C517F" w:rsidRDefault="000C517F" w:rsidP="000C5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827724"/>
      <w:docPartObj>
        <w:docPartGallery w:val="Page Numbers (Bottom of Page)"/>
        <w:docPartUnique/>
      </w:docPartObj>
    </w:sdtPr>
    <w:sdtEndPr>
      <w:rPr>
        <w:noProof/>
      </w:rPr>
    </w:sdtEndPr>
    <w:sdtContent>
      <w:p w14:paraId="261115E3" w14:textId="1C893150" w:rsidR="000C517F" w:rsidRDefault="000C517F" w:rsidP="000C5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4EEB" w14:textId="77777777" w:rsidR="00A27E3C" w:rsidRDefault="00A27E3C" w:rsidP="00A27E3C">
      <w:pPr>
        <w:spacing w:before="0" w:after="0" w:line="240" w:lineRule="auto"/>
      </w:pPr>
      <w:r>
        <w:separator/>
      </w:r>
    </w:p>
  </w:footnote>
  <w:footnote w:type="continuationSeparator" w:id="0">
    <w:p w14:paraId="01A06C6A" w14:textId="77777777" w:rsidR="00A27E3C" w:rsidRDefault="00A27E3C" w:rsidP="00A27E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57E8" w14:textId="3F896DC3" w:rsidR="00A27E3C" w:rsidRPr="000C517F" w:rsidRDefault="00223ADC" w:rsidP="00A27E3C">
    <w:pPr>
      <w:jc w:val="center"/>
      <w:rPr>
        <w:lang w:val="en-US"/>
      </w:rPr>
    </w:pPr>
    <w:r w:rsidRPr="00223ADC">
      <w:rPr>
        <w:noProof/>
        <w:lang w:val="en-US"/>
      </w:rPr>
      <w:drawing>
        <wp:inline distT="0" distB="0" distL="0" distR="0" wp14:anchorId="1644A04B" wp14:editId="4C2E2A28">
          <wp:extent cx="2376728" cy="882650"/>
          <wp:effectExtent l="0" t="0" r="5080" b="0"/>
          <wp:docPr id="429555405" name="Picture 1" descr="Cannock Chase Council and Stafford Borough Council working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5405" name="Picture 1" descr="Cannock Chase Council and Stafford Borough Council working together logo"/>
                  <pic:cNvPicPr/>
                </pic:nvPicPr>
                <pic:blipFill>
                  <a:blip r:embed="rId1"/>
                  <a:stretch>
                    <a:fillRect/>
                  </a:stretch>
                </pic:blipFill>
                <pic:spPr>
                  <a:xfrm>
                    <a:off x="0" y="0"/>
                    <a:ext cx="2418304" cy="8980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A801" w14:textId="4DAC8481" w:rsidR="000C517F" w:rsidRPr="000C517F" w:rsidRDefault="000C517F" w:rsidP="000C517F">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2C5"/>
    <w:multiLevelType w:val="hybridMultilevel"/>
    <w:tmpl w:val="CA36F79A"/>
    <w:lvl w:ilvl="0" w:tplc="770CA6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D13C65"/>
    <w:multiLevelType w:val="hybridMultilevel"/>
    <w:tmpl w:val="3CE20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E1775"/>
    <w:multiLevelType w:val="hybridMultilevel"/>
    <w:tmpl w:val="4C163B9C"/>
    <w:lvl w:ilvl="0" w:tplc="551A1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446935"/>
    <w:multiLevelType w:val="hybridMultilevel"/>
    <w:tmpl w:val="5CD6F990"/>
    <w:lvl w:ilvl="0" w:tplc="9EB02BF2">
      <w:start w:val="11"/>
      <w:numFmt w:val="bullet"/>
      <w:lvlText w:val="•"/>
      <w:lvlJc w:val="left"/>
      <w:pPr>
        <w:ind w:left="1800" w:hanging="144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8275DD"/>
    <w:multiLevelType w:val="hybridMultilevel"/>
    <w:tmpl w:val="E7786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8E4A8B"/>
    <w:multiLevelType w:val="hybridMultilevel"/>
    <w:tmpl w:val="EF145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76555">
    <w:abstractNumId w:val="2"/>
  </w:num>
  <w:num w:numId="2" w16cid:durableId="1563827157">
    <w:abstractNumId w:val="0"/>
  </w:num>
  <w:num w:numId="3" w16cid:durableId="551159262">
    <w:abstractNumId w:val="4"/>
  </w:num>
  <w:num w:numId="4" w16cid:durableId="1017387612">
    <w:abstractNumId w:val="5"/>
  </w:num>
  <w:num w:numId="5" w16cid:durableId="691565843">
    <w:abstractNumId w:val="1"/>
  </w:num>
  <w:num w:numId="6" w16cid:durableId="1632125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NpUHXMsO44+sT0BG3kO2auOvZMPS1I1JEGtTwbghWxGDOnHgQLwqVSltIZQTkUkqBsh0i1k32W02UXAYxv9ttw==" w:salt="utuXfr0RfI9lB9hlrtfDA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3C"/>
    <w:rsid w:val="000C517F"/>
    <w:rsid w:val="00223ADC"/>
    <w:rsid w:val="00262BA6"/>
    <w:rsid w:val="00382439"/>
    <w:rsid w:val="00481E47"/>
    <w:rsid w:val="005012EE"/>
    <w:rsid w:val="00543068"/>
    <w:rsid w:val="00590EEE"/>
    <w:rsid w:val="00676298"/>
    <w:rsid w:val="00745A4E"/>
    <w:rsid w:val="009D15DF"/>
    <w:rsid w:val="009E2ABE"/>
    <w:rsid w:val="00A27E3C"/>
    <w:rsid w:val="00A950C9"/>
    <w:rsid w:val="00C37486"/>
    <w:rsid w:val="00C928AE"/>
    <w:rsid w:val="00DD427E"/>
    <w:rsid w:val="00E9213F"/>
    <w:rsid w:val="00ED6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B39BE83"/>
  <w15:chartTrackingRefBased/>
  <w15:docId w15:val="{CB94724C-F36D-4BDA-9D43-56D01D29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7F"/>
    <w:pPr>
      <w:spacing w:before="240" w:after="240" w:line="276" w:lineRule="auto"/>
    </w:pPr>
    <w:rPr>
      <w:rFonts w:ascii="Arial" w:hAnsi="Arial"/>
      <w:sz w:val="24"/>
    </w:rPr>
  </w:style>
  <w:style w:type="paragraph" w:styleId="Heading1">
    <w:name w:val="heading 1"/>
    <w:basedOn w:val="Normal"/>
    <w:next w:val="Normal"/>
    <w:link w:val="Heading1Char"/>
    <w:uiPriority w:val="9"/>
    <w:qFormat/>
    <w:rsid w:val="00A27E3C"/>
    <w:pPr>
      <w:outlineLvl w:val="0"/>
    </w:pPr>
    <w:rPr>
      <w:b/>
      <w:bCs/>
      <w:sz w:val="32"/>
      <w:szCs w:val="28"/>
    </w:rPr>
  </w:style>
  <w:style w:type="paragraph" w:styleId="Heading2">
    <w:name w:val="heading 2"/>
    <w:basedOn w:val="Normal"/>
    <w:next w:val="Normal"/>
    <w:link w:val="Heading2Char"/>
    <w:uiPriority w:val="9"/>
    <w:unhideWhenUsed/>
    <w:qFormat/>
    <w:rsid w:val="00A27E3C"/>
    <w:pPr>
      <w:outlineLvl w:val="1"/>
    </w:pPr>
    <w:rPr>
      <w:b/>
      <w:bCs/>
      <w:sz w:val="28"/>
      <w:szCs w:val="24"/>
    </w:rPr>
  </w:style>
  <w:style w:type="paragraph" w:styleId="Heading3">
    <w:name w:val="heading 3"/>
    <w:basedOn w:val="Heading2"/>
    <w:next w:val="Normal"/>
    <w:link w:val="Heading3Char"/>
    <w:uiPriority w:val="9"/>
    <w:unhideWhenUsed/>
    <w:qFormat/>
    <w:rsid w:val="00590EEE"/>
    <w:pPr>
      <w:outlineLvl w:val="2"/>
    </w:pPr>
    <w:rPr>
      <w:sz w:val="24"/>
      <w:szCs w:val="22"/>
    </w:rPr>
  </w:style>
  <w:style w:type="paragraph" w:styleId="Heading4">
    <w:name w:val="heading 4"/>
    <w:basedOn w:val="Normal"/>
    <w:next w:val="Normal"/>
    <w:link w:val="Heading4Char"/>
    <w:uiPriority w:val="9"/>
    <w:semiHidden/>
    <w:unhideWhenUsed/>
    <w:qFormat/>
    <w:rsid w:val="00A27E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E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C"/>
    <w:rPr>
      <w:rFonts w:ascii="Arial" w:hAnsi="Arial"/>
      <w:b/>
      <w:bCs/>
      <w:sz w:val="32"/>
      <w:szCs w:val="28"/>
    </w:rPr>
  </w:style>
  <w:style w:type="character" w:customStyle="1" w:styleId="Heading2Char">
    <w:name w:val="Heading 2 Char"/>
    <w:basedOn w:val="DefaultParagraphFont"/>
    <w:link w:val="Heading2"/>
    <w:uiPriority w:val="9"/>
    <w:rsid w:val="00A27E3C"/>
    <w:rPr>
      <w:rFonts w:ascii="Arial" w:hAnsi="Arial"/>
      <w:b/>
      <w:bCs/>
      <w:sz w:val="28"/>
      <w:szCs w:val="24"/>
    </w:rPr>
  </w:style>
  <w:style w:type="character" w:customStyle="1" w:styleId="Heading3Char">
    <w:name w:val="Heading 3 Char"/>
    <w:basedOn w:val="DefaultParagraphFont"/>
    <w:link w:val="Heading3"/>
    <w:uiPriority w:val="9"/>
    <w:rsid w:val="00590EEE"/>
    <w:rPr>
      <w:rFonts w:ascii="Arial" w:hAnsi="Arial"/>
      <w:b/>
      <w:bCs/>
      <w:sz w:val="24"/>
    </w:rPr>
  </w:style>
  <w:style w:type="character" w:customStyle="1" w:styleId="Heading4Char">
    <w:name w:val="Heading 4 Char"/>
    <w:basedOn w:val="DefaultParagraphFont"/>
    <w:link w:val="Heading4"/>
    <w:uiPriority w:val="9"/>
    <w:semiHidden/>
    <w:rsid w:val="00A27E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E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E3C"/>
    <w:rPr>
      <w:rFonts w:eastAsiaTheme="majorEastAsia" w:cstheme="majorBidi"/>
      <w:color w:val="272727" w:themeColor="text1" w:themeTint="D8"/>
    </w:rPr>
  </w:style>
  <w:style w:type="paragraph" w:styleId="Title">
    <w:name w:val="Title"/>
    <w:basedOn w:val="Normal"/>
    <w:next w:val="Normal"/>
    <w:link w:val="TitleChar"/>
    <w:uiPriority w:val="10"/>
    <w:qFormat/>
    <w:rsid w:val="00A27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E3C"/>
    <w:pPr>
      <w:spacing w:before="160"/>
      <w:jc w:val="center"/>
    </w:pPr>
    <w:rPr>
      <w:i/>
      <w:iCs/>
      <w:color w:val="404040" w:themeColor="text1" w:themeTint="BF"/>
    </w:rPr>
  </w:style>
  <w:style w:type="character" w:customStyle="1" w:styleId="QuoteChar">
    <w:name w:val="Quote Char"/>
    <w:basedOn w:val="DefaultParagraphFont"/>
    <w:link w:val="Quote"/>
    <w:uiPriority w:val="29"/>
    <w:rsid w:val="00A27E3C"/>
    <w:rPr>
      <w:i/>
      <w:iCs/>
      <w:color w:val="404040" w:themeColor="text1" w:themeTint="BF"/>
    </w:rPr>
  </w:style>
  <w:style w:type="paragraph" w:styleId="ListParagraph">
    <w:name w:val="List Paragraph"/>
    <w:basedOn w:val="Normal"/>
    <w:uiPriority w:val="34"/>
    <w:qFormat/>
    <w:rsid w:val="00A27E3C"/>
    <w:pPr>
      <w:ind w:left="720"/>
    </w:pPr>
  </w:style>
  <w:style w:type="character" w:styleId="IntenseEmphasis">
    <w:name w:val="Intense Emphasis"/>
    <w:basedOn w:val="DefaultParagraphFont"/>
    <w:uiPriority w:val="21"/>
    <w:qFormat/>
    <w:rsid w:val="00A27E3C"/>
    <w:rPr>
      <w:i/>
      <w:iCs/>
      <w:color w:val="2F5496" w:themeColor="accent1" w:themeShade="BF"/>
    </w:rPr>
  </w:style>
  <w:style w:type="paragraph" w:styleId="IntenseQuote">
    <w:name w:val="Intense Quote"/>
    <w:basedOn w:val="Normal"/>
    <w:next w:val="Normal"/>
    <w:link w:val="IntenseQuoteChar"/>
    <w:uiPriority w:val="30"/>
    <w:qFormat/>
    <w:rsid w:val="00A27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E3C"/>
    <w:rPr>
      <w:i/>
      <w:iCs/>
      <w:color w:val="2F5496" w:themeColor="accent1" w:themeShade="BF"/>
    </w:rPr>
  </w:style>
  <w:style w:type="character" w:styleId="IntenseReference">
    <w:name w:val="Intense Reference"/>
    <w:basedOn w:val="DefaultParagraphFont"/>
    <w:uiPriority w:val="32"/>
    <w:qFormat/>
    <w:rsid w:val="00A27E3C"/>
    <w:rPr>
      <w:b/>
      <w:bCs/>
      <w:smallCaps/>
      <w:color w:val="2F5496" w:themeColor="accent1" w:themeShade="BF"/>
      <w:spacing w:val="5"/>
    </w:rPr>
  </w:style>
  <w:style w:type="paragraph" w:styleId="Header">
    <w:name w:val="header"/>
    <w:basedOn w:val="Normal"/>
    <w:link w:val="HeaderChar"/>
    <w:uiPriority w:val="99"/>
    <w:unhideWhenUsed/>
    <w:rsid w:val="00A27E3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27E3C"/>
    <w:rPr>
      <w:rFonts w:ascii="Arial" w:hAnsi="Arial"/>
      <w:sz w:val="24"/>
    </w:rPr>
  </w:style>
  <w:style w:type="paragraph" w:styleId="Footer">
    <w:name w:val="footer"/>
    <w:basedOn w:val="Normal"/>
    <w:link w:val="FooterChar"/>
    <w:uiPriority w:val="99"/>
    <w:unhideWhenUsed/>
    <w:rsid w:val="00A27E3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27E3C"/>
    <w:rPr>
      <w:rFonts w:ascii="Arial" w:hAnsi="Arial"/>
      <w:sz w:val="24"/>
    </w:rPr>
  </w:style>
  <w:style w:type="character" w:styleId="Hyperlink">
    <w:name w:val="Hyperlink"/>
    <w:basedOn w:val="DefaultParagraphFont"/>
    <w:uiPriority w:val="99"/>
    <w:unhideWhenUsed/>
    <w:rsid w:val="00C92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staffordbc.gov.uk/privacynotices"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1100</Words>
  <Characters>5295</Characters>
  <Application>Microsoft Office Word</Application>
  <DocSecurity>0</DocSecurity>
  <Lines>151</Lines>
  <Paragraphs>106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Application for the Conversion or New Grant / Change of Name of an Unlicensed Fa</vt:lpstr>
      <vt:lpstr>    Section A - What do you want to do?</vt:lpstr>
      <vt:lpstr>    </vt:lpstr>
      <vt:lpstr>    Section B - Application for grant (includes both new and conversion applications</vt:lpstr>
      <vt:lpstr>    Section C - Change of name</vt:lpstr>
      <vt:lpstr>    Section D - General Information</vt:lpstr>
      <vt:lpstr>    Section E - Fee and Signature(s)</vt:lpstr>
      <vt:lpstr>    Guidance notes:</vt:lpstr>
      <vt:lpstr>    Official Use Only</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8</cp:revision>
  <dcterms:created xsi:type="dcterms:W3CDTF">2026-02-03T09:28:00Z</dcterms:created>
  <dcterms:modified xsi:type="dcterms:W3CDTF">2026-02-05T15:16:00Z</dcterms:modified>
</cp:coreProperties>
</file>